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5C4" w:rsidRPr="00FE7F09" w:rsidRDefault="00ED63F3" w:rsidP="005719F8">
      <w:pPr>
        <w:spacing w:before="120" w:after="120" w:line="360" w:lineRule="auto"/>
        <w:jc w:val="center"/>
        <w:rPr>
          <w:rFonts w:ascii="Times New Roman" w:hAnsi="Times New Roman" w:cs="Times New Roman"/>
          <w:b/>
          <w:sz w:val="24"/>
          <w:szCs w:val="24"/>
        </w:rPr>
      </w:pPr>
      <w:r w:rsidRPr="00FE7F09">
        <w:rPr>
          <w:rFonts w:ascii="Times New Roman" w:hAnsi="Times New Roman" w:cs="Times New Roman"/>
          <w:b/>
          <w:sz w:val="24"/>
          <w:szCs w:val="24"/>
        </w:rPr>
        <w:t xml:space="preserve">About The Housing Market and </w:t>
      </w:r>
      <w:proofErr w:type="gramStart"/>
      <w:r w:rsidR="00FE7F09">
        <w:rPr>
          <w:rFonts w:ascii="Times New Roman" w:hAnsi="Times New Roman" w:cs="Times New Roman"/>
          <w:b/>
          <w:sz w:val="24"/>
          <w:szCs w:val="24"/>
        </w:rPr>
        <w:t>The</w:t>
      </w:r>
      <w:proofErr w:type="gramEnd"/>
      <w:r w:rsidR="00FE7F09">
        <w:rPr>
          <w:rFonts w:ascii="Times New Roman" w:hAnsi="Times New Roman" w:cs="Times New Roman"/>
          <w:b/>
          <w:sz w:val="24"/>
          <w:szCs w:val="24"/>
        </w:rPr>
        <w:t xml:space="preserve"> </w:t>
      </w:r>
      <w:r w:rsidRPr="00FE7F09">
        <w:rPr>
          <w:rFonts w:ascii="Times New Roman" w:hAnsi="Times New Roman" w:cs="Times New Roman"/>
          <w:b/>
          <w:sz w:val="24"/>
          <w:szCs w:val="24"/>
        </w:rPr>
        <w:t>Shadow Banking Sector in China</w:t>
      </w:r>
    </w:p>
    <w:p w:rsidR="00ED63F3" w:rsidRDefault="00ED63F3" w:rsidP="005719F8">
      <w:pPr>
        <w:spacing w:before="120" w:after="120" w:line="360" w:lineRule="auto"/>
        <w:jc w:val="center"/>
        <w:rPr>
          <w:rFonts w:ascii="Times New Roman" w:hAnsi="Times New Roman" w:cs="Times New Roman"/>
          <w:sz w:val="24"/>
          <w:szCs w:val="24"/>
        </w:rPr>
      </w:pPr>
      <w:r w:rsidRPr="00FE7F09">
        <w:rPr>
          <w:rFonts w:ascii="Times New Roman" w:hAnsi="Times New Roman" w:cs="Times New Roman"/>
          <w:sz w:val="24"/>
          <w:szCs w:val="24"/>
        </w:rPr>
        <w:t>By Zhipeng (Alan) Yan</w:t>
      </w:r>
    </w:p>
    <w:p w:rsidR="005719F8" w:rsidRPr="00FE7F09" w:rsidRDefault="005719F8" w:rsidP="005719F8">
      <w:pPr>
        <w:spacing w:before="120" w:after="120" w:line="360" w:lineRule="auto"/>
        <w:jc w:val="center"/>
        <w:rPr>
          <w:rFonts w:ascii="Times New Roman" w:hAnsi="Times New Roman" w:cs="Times New Roman"/>
          <w:sz w:val="24"/>
          <w:szCs w:val="24"/>
        </w:rPr>
      </w:pPr>
    </w:p>
    <w:p w:rsidR="00466596" w:rsidRPr="00466596" w:rsidRDefault="00466596" w:rsidP="005719F8">
      <w:pPr>
        <w:pStyle w:val="ListParagraph"/>
        <w:numPr>
          <w:ilvl w:val="0"/>
          <w:numId w:val="3"/>
        </w:numPr>
        <w:spacing w:before="120" w:after="120" w:line="360" w:lineRule="auto"/>
        <w:jc w:val="both"/>
        <w:rPr>
          <w:b/>
        </w:rPr>
      </w:pPr>
      <w:r w:rsidRPr="00466596">
        <w:rPr>
          <w:rFonts w:eastAsiaTheme="minorEastAsia"/>
          <w:b/>
        </w:rPr>
        <w:t>Characteristics of China’s housing market</w:t>
      </w:r>
    </w:p>
    <w:p w:rsidR="001807D6" w:rsidRPr="00FE7F09" w:rsidRDefault="00A11B6E" w:rsidP="005719F8">
      <w:pPr>
        <w:spacing w:before="120" w:after="120" w:line="360" w:lineRule="auto"/>
        <w:jc w:val="both"/>
        <w:rPr>
          <w:rFonts w:ascii="Times New Roman" w:hAnsi="Times New Roman" w:cs="Times New Roman"/>
          <w:sz w:val="24"/>
          <w:szCs w:val="24"/>
        </w:rPr>
      </w:pPr>
      <w:r w:rsidRPr="00FE7F09">
        <w:rPr>
          <w:rFonts w:ascii="Times New Roman" w:hAnsi="Times New Roman" w:cs="Times New Roman"/>
          <w:sz w:val="24"/>
          <w:szCs w:val="24"/>
        </w:rPr>
        <w:t xml:space="preserve">The housing market in China is unique for </w:t>
      </w:r>
      <w:r w:rsidR="005719F8">
        <w:rPr>
          <w:rFonts w:ascii="Times New Roman" w:hAnsi="Times New Roman" w:cs="Times New Roman"/>
          <w:sz w:val="24"/>
          <w:szCs w:val="24"/>
        </w:rPr>
        <w:t>several</w:t>
      </w:r>
      <w:r w:rsidRPr="00FE7F09">
        <w:rPr>
          <w:rFonts w:ascii="Times New Roman" w:hAnsi="Times New Roman" w:cs="Times New Roman"/>
          <w:sz w:val="24"/>
          <w:szCs w:val="24"/>
        </w:rPr>
        <w:t xml:space="preserve"> reasons. </w:t>
      </w:r>
      <w:r w:rsidRPr="003C2D18">
        <w:rPr>
          <w:rFonts w:ascii="Times New Roman" w:hAnsi="Times New Roman" w:cs="Times New Roman"/>
          <w:b/>
          <w:sz w:val="24"/>
          <w:szCs w:val="24"/>
        </w:rPr>
        <w:t xml:space="preserve">First, the only suppliers of land in </w:t>
      </w:r>
      <w:r w:rsidR="00F11DA9">
        <w:rPr>
          <w:rFonts w:ascii="Times New Roman" w:hAnsi="Times New Roman" w:cs="Times New Roman"/>
          <w:b/>
          <w:sz w:val="24"/>
          <w:szCs w:val="24"/>
        </w:rPr>
        <w:t xml:space="preserve">cities in </w:t>
      </w:r>
      <w:r w:rsidRPr="003C2D18">
        <w:rPr>
          <w:rFonts w:ascii="Times New Roman" w:hAnsi="Times New Roman" w:cs="Times New Roman"/>
          <w:b/>
          <w:sz w:val="24"/>
          <w:szCs w:val="24"/>
        </w:rPr>
        <w:t>China are governments.</w:t>
      </w:r>
      <w:r w:rsidRPr="00FE7F09">
        <w:rPr>
          <w:rFonts w:ascii="Times New Roman" w:hAnsi="Times New Roman" w:cs="Times New Roman"/>
          <w:sz w:val="24"/>
          <w:szCs w:val="24"/>
        </w:rPr>
        <w:t xml:space="preserve"> </w:t>
      </w:r>
      <w:r w:rsidR="001807D6" w:rsidRPr="00FE7F09">
        <w:rPr>
          <w:rFonts w:ascii="Times New Roman" w:hAnsi="Times New Roman" w:cs="Times New Roman"/>
          <w:sz w:val="24"/>
          <w:szCs w:val="24"/>
        </w:rPr>
        <w:t>Revenues from selling “the land-use rights” have been major revenue sources for many local governments. Since provincial governments or the central government appoints top officials of local governments, the central government can put brakes on or lift restrictions of the real estate market</w:t>
      </w:r>
      <w:r w:rsidR="00FE7F09">
        <w:rPr>
          <w:rFonts w:ascii="Times New Roman" w:hAnsi="Times New Roman" w:cs="Times New Roman"/>
          <w:sz w:val="24"/>
          <w:szCs w:val="24"/>
        </w:rPr>
        <w:t>s</w:t>
      </w:r>
      <w:r w:rsidR="001807D6" w:rsidRPr="00FE7F09">
        <w:rPr>
          <w:rFonts w:ascii="Times New Roman" w:hAnsi="Times New Roman" w:cs="Times New Roman"/>
          <w:sz w:val="24"/>
          <w:szCs w:val="24"/>
        </w:rPr>
        <w:t>, if needed. In some occasions, the central government can implement macroeconomic interventions by changing homebuyers and speculators’ expectations about housing prices.</w:t>
      </w:r>
    </w:p>
    <w:p w:rsidR="00A11B6E" w:rsidRPr="00FE7F09" w:rsidRDefault="00A11B6E" w:rsidP="005719F8">
      <w:pPr>
        <w:spacing w:before="120" w:after="120" w:line="360" w:lineRule="auto"/>
        <w:jc w:val="both"/>
        <w:rPr>
          <w:rFonts w:ascii="Times New Roman" w:hAnsi="Times New Roman" w:cs="Times New Roman"/>
          <w:sz w:val="24"/>
          <w:szCs w:val="24"/>
        </w:rPr>
      </w:pPr>
      <w:r w:rsidRPr="003C2D18">
        <w:rPr>
          <w:rFonts w:ascii="Times New Roman" w:hAnsi="Times New Roman" w:cs="Times New Roman"/>
          <w:b/>
          <w:sz w:val="24"/>
          <w:szCs w:val="24"/>
        </w:rPr>
        <w:t xml:space="preserve">Second, the levels of economic development of different cities and regions </w:t>
      </w:r>
      <w:r w:rsidR="00B17152" w:rsidRPr="003C2D18">
        <w:rPr>
          <w:rFonts w:ascii="Times New Roman" w:hAnsi="Times New Roman" w:cs="Times New Roman"/>
          <w:b/>
          <w:sz w:val="24"/>
          <w:szCs w:val="24"/>
        </w:rPr>
        <w:t>vary significantly</w:t>
      </w:r>
      <w:r w:rsidRPr="003C2D18">
        <w:rPr>
          <w:rFonts w:ascii="Times New Roman" w:hAnsi="Times New Roman" w:cs="Times New Roman"/>
          <w:b/>
          <w:sz w:val="24"/>
          <w:szCs w:val="24"/>
        </w:rPr>
        <w:t>.</w:t>
      </w:r>
      <w:r w:rsidR="00B17152" w:rsidRPr="00FE7F09">
        <w:rPr>
          <w:rFonts w:ascii="Times New Roman" w:hAnsi="Times New Roman" w:cs="Times New Roman"/>
          <w:sz w:val="24"/>
          <w:szCs w:val="24"/>
        </w:rPr>
        <w:t xml:space="preserve"> People, in particular young people, are willing to migrate to mega or major cities, such as Shanghai and Beijing, where education</w:t>
      </w:r>
      <w:r w:rsidR="00FE7F09">
        <w:rPr>
          <w:rFonts w:ascii="Times New Roman" w:hAnsi="Times New Roman" w:cs="Times New Roman"/>
          <w:sz w:val="24"/>
          <w:szCs w:val="24"/>
        </w:rPr>
        <w:t xml:space="preserve"> system</w:t>
      </w:r>
      <w:r w:rsidR="00B17152" w:rsidRPr="00FE7F09">
        <w:rPr>
          <w:rFonts w:ascii="Times New Roman" w:hAnsi="Times New Roman" w:cs="Times New Roman"/>
          <w:sz w:val="24"/>
          <w:szCs w:val="24"/>
        </w:rPr>
        <w:t>, healthcare system, social securit</w:t>
      </w:r>
      <w:r w:rsidR="00FE7F09">
        <w:rPr>
          <w:rFonts w:ascii="Times New Roman" w:hAnsi="Times New Roman" w:cs="Times New Roman"/>
          <w:sz w:val="24"/>
          <w:szCs w:val="24"/>
        </w:rPr>
        <w:t>y</w:t>
      </w:r>
      <w:r w:rsidR="00B17152" w:rsidRPr="00FE7F09">
        <w:rPr>
          <w:rFonts w:ascii="Times New Roman" w:hAnsi="Times New Roman" w:cs="Times New Roman"/>
          <w:sz w:val="24"/>
          <w:szCs w:val="24"/>
        </w:rPr>
        <w:t xml:space="preserve"> and job opportunities are much better. Shanghai has a population of 24 million. If Shanghai government lifts the restrictions on </w:t>
      </w:r>
      <w:r w:rsidR="002C210E">
        <w:rPr>
          <w:rFonts w:ascii="Times New Roman" w:hAnsi="Times New Roman" w:cs="Times New Roman"/>
          <w:sz w:val="24"/>
          <w:szCs w:val="24"/>
        </w:rPr>
        <w:t xml:space="preserve">who can </w:t>
      </w:r>
      <w:r w:rsidR="00B17152" w:rsidRPr="00FE7F09">
        <w:rPr>
          <w:rFonts w:ascii="Times New Roman" w:hAnsi="Times New Roman" w:cs="Times New Roman"/>
          <w:sz w:val="24"/>
          <w:szCs w:val="24"/>
        </w:rPr>
        <w:t>purchas</w:t>
      </w:r>
      <w:r w:rsidR="002C210E">
        <w:rPr>
          <w:rFonts w:ascii="Times New Roman" w:hAnsi="Times New Roman" w:cs="Times New Roman"/>
          <w:sz w:val="24"/>
          <w:szCs w:val="24"/>
        </w:rPr>
        <w:t>e</w:t>
      </w:r>
      <w:r w:rsidR="00B17152" w:rsidRPr="00FE7F09">
        <w:rPr>
          <w:rFonts w:ascii="Times New Roman" w:hAnsi="Times New Roman" w:cs="Times New Roman"/>
          <w:sz w:val="24"/>
          <w:szCs w:val="24"/>
        </w:rPr>
        <w:t xml:space="preserve"> real estates in Shanghai, Shanghai can easily have another 10 million people.</w:t>
      </w:r>
    </w:p>
    <w:p w:rsidR="00B17152" w:rsidRDefault="00B17152" w:rsidP="005719F8">
      <w:pPr>
        <w:spacing w:before="120" w:after="120" w:line="360" w:lineRule="auto"/>
        <w:jc w:val="both"/>
        <w:rPr>
          <w:rFonts w:ascii="Times New Roman" w:hAnsi="Times New Roman" w:cs="Times New Roman"/>
          <w:sz w:val="24"/>
          <w:szCs w:val="24"/>
        </w:rPr>
      </w:pPr>
      <w:r w:rsidRPr="003C2D18">
        <w:rPr>
          <w:rFonts w:ascii="Times New Roman" w:hAnsi="Times New Roman" w:cs="Times New Roman"/>
          <w:b/>
          <w:sz w:val="24"/>
          <w:szCs w:val="24"/>
        </w:rPr>
        <w:t>Third, governments have plenty of resources to support local housing markets if they want to.</w:t>
      </w:r>
      <w:r w:rsidRPr="00FE7F09">
        <w:rPr>
          <w:rFonts w:ascii="Times New Roman" w:hAnsi="Times New Roman" w:cs="Times New Roman"/>
          <w:sz w:val="24"/>
          <w:szCs w:val="24"/>
        </w:rPr>
        <w:t xml:space="preserve"> Governments can force best schools and hospitals to move to ‘new towns’. Governments can tear down not so old buildings and give residents cash to purchase new houses. Of course, this </w:t>
      </w:r>
      <w:r w:rsidR="002C210E">
        <w:rPr>
          <w:rFonts w:ascii="Times New Roman" w:hAnsi="Times New Roman" w:cs="Times New Roman"/>
          <w:sz w:val="24"/>
          <w:szCs w:val="24"/>
        </w:rPr>
        <w:t>creates</w:t>
      </w:r>
      <w:r w:rsidRPr="00FE7F09">
        <w:rPr>
          <w:rFonts w:ascii="Times New Roman" w:hAnsi="Times New Roman" w:cs="Times New Roman"/>
          <w:sz w:val="24"/>
          <w:szCs w:val="24"/>
        </w:rPr>
        <w:t xml:space="preserve"> the debt problem facing local governments.</w:t>
      </w:r>
    </w:p>
    <w:p w:rsidR="006E1934" w:rsidRDefault="006E1934" w:rsidP="005719F8">
      <w:pPr>
        <w:spacing w:before="120" w:after="120" w:line="360" w:lineRule="auto"/>
        <w:jc w:val="both"/>
        <w:rPr>
          <w:rFonts w:ascii="Times New Roman" w:hAnsi="Times New Roman" w:cs="Times New Roman"/>
          <w:sz w:val="24"/>
          <w:szCs w:val="24"/>
        </w:rPr>
      </w:pPr>
      <w:proofErr w:type="gramStart"/>
      <w:r w:rsidRPr="003C2D18">
        <w:rPr>
          <w:rFonts w:ascii="Times New Roman" w:hAnsi="Times New Roman" w:cs="Times New Roman"/>
          <w:b/>
          <w:sz w:val="24"/>
          <w:szCs w:val="24"/>
        </w:rPr>
        <w:t>Last</w:t>
      </w:r>
      <w:r w:rsidR="006844F0">
        <w:rPr>
          <w:rFonts w:ascii="Times New Roman" w:hAnsi="Times New Roman" w:cs="Times New Roman"/>
          <w:b/>
          <w:sz w:val="24"/>
          <w:szCs w:val="24"/>
        </w:rPr>
        <w:t xml:space="preserve"> but not least</w:t>
      </w:r>
      <w:proofErr w:type="gramEnd"/>
      <w:r w:rsidRPr="003C2D18">
        <w:rPr>
          <w:rFonts w:ascii="Times New Roman" w:hAnsi="Times New Roman" w:cs="Times New Roman"/>
          <w:b/>
          <w:sz w:val="24"/>
          <w:szCs w:val="24"/>
        </w:rPr>
        <w:t>, mortgage rates are largely decided by the central bank.</w:t>
      </w:r>
      <w:r>
        <w:rPr>
          <w:rFonts w:ascii="Times New Roman" w:hAnsi="Times New Roman" w:cs="Times New Roman"/>
          <w:sz w:val="24"/>
          <w:szCs w:val="24"/>
        </w:rPr>
        <w:t xml:space="preserve"> There is no fixed-rate mortgage in China. The standard mortgage rates are the same as the long-term lending rate set by the central bank. Commercial banks can </w:t>
      </w:r>
      <w:r w:rsidR="002C210E">
        <w:rPr>
          <w:rFonts w:ascii="Times New Roman" w:hAnsi="Times New Roman" w:cs="Times New Roman"/>
          <w:sz w:val="24"/>
          <w:szCs w:val="24"/>
        </w:rPr>
        <w:t>decide</w:t>
      </w:r>
      <w:r>
        <w:rPr>
          <w:rFonts w:ascii="Times New Roman" w:hAnsi="Times New Roman" w:cs="Times New Roman"/>
          <w:sz w:val="24"/>
          <w:szCs w:val="24"/>
        </w:rPr>
        <w:t xml:space="preserve"> the mortgage rate a homebuyer pays</w:t>
      </w:r>
      <w:r w:rsidR="002C210E">
        <w:rPr>
          <w:rFonts w:ascii="Times New Roman" w:hAnsi="Times New Roman" w:cs="Times New Roman"/>
          <w:sz w:val="24"/>
          <w:szCs w:val="24"/>
        </w:rPr>
        <w:t xml:space="preserve"> more or less than</w:t>
      </w:r>
      <w:r>
        <w:rPr>
          <w:rFonts w:ascii="Times New Roman" w:hAnsi="Times New Roman" w:cs="Times New Roman"/>
          <w:sz w:val="24"/>
          <w:szCs w:val="24"/>
        </w:rPr>
        <w:t xml:space="preserve"> the official lending rate, say, 10% off or more than the standard rate. Each year, the mortgage rate is re-set according to the official lending rate.</w:t>
      </w:r>
      <w:r w:rsidR="002C210E">
        <w:rPr>
          <w:rFonts w:ascii="Times New Roman" w:hAnsi="Times New Roman" w:cs="Times New Roman"/>
          <w:sz w:val="24"/>
          <w:szCs w:val="24"/>
        </w:rPr>
        <w:t xml:space="preserve"> Most down payment requirements for the first house is 30% and for the second house is 50% - 70%.</w:t>
      </w:r>
    </w:p>
    <w:p w:rsidR="005719F8" w:rsidRDefault="005719F8" w:rsidP="005719F8">
      <w:pPr>
        <w:spacing w:before="120" w:after="120" w:line="360" w:lineRule="auto"/>
        <w:jc w:val="both"/>
        <w:rPr>
          <w:rFonts w:ascii="Times New Roman" w:hAnsi="Times New Roman" w:cs="Times New Roman"/>
          <w:sz w:val="24"/>
          <w:szCs w:val="24"/>
        </w:rPr>
      </w:pPr>
    </w:p>
    <w:p w:rsidR="00466596" w:rsidRPr="00466596" w:rsidRDefault="00466596" w:rsidP="005719F8">
      <w:pPr>
        <w:pStyle w:val="ListParagraph"/>
        <w:numPr>
          <w:ilvl w:val="0"/>
          <w:numId w:val="3"/>
        </w:numPr>
        <w:spacing w:before="120" w:after="120" w:line="360" w:lineRule="auto"/>
        <w:jc w:val="both"/>
        <w:rPr>
          <w:b/>
        </w:rPr>
      </w:pPr>
      <w:r>
        <w:rPr>
          <w:rFonts w:eastAsiaTheme="minorEastAsia"/>
          <w:b/>
        </w:rPr>
        <w:t>How to understand the housing market between 2015 and 2017</w:t>
      </w:r>
    </w:p>
    <w:p w:rsidR="00FE7F09" w:rsidRDefault="00FE7F09" w:rsidP="005719F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Between 2015 and the first half of 2017, the real estate market in China was on steroids. In some cities, the housing prices more than doubled. </w:t>
      </w:r>
      <w:r w:rsidR="002C210E">
        <w:rPr>
          <w:rFonts w:ascii="Times New Roman" w:hAnsi="Times New Roman" w:cs="Times New Roman"/>
          <w:sz w:val="24"/>
          <w:szCs w:val="24"/>
        </w:rPr>
        <w:t>Here are some possible explanations</w:t>
      </w:r>
      <w:r>
        <w:rPr>
          <w:rFonts w:ascii="Times New Roman" w:hAnsi="Times New Roman" w:cs="Times New Roman"/>
          <w:sz w:val="24"/>
          <w:szCs w:val="24"/>
        </w:rPr>
        <w:t xml:space="preserve">. </w:t>
      </w:r>
    </w:p>
    <w:p w:rsidR="00FE7F09" w:rsidRDefault="00FE7F09" w:rsidP="005719F8">
      <w:pPr>
        <w:spacing w:before="120" w:after="120" w:line="360" w:lineRule="auto"/>
        <w:jc w:val="both"/>
        <w:rPr>
          <w:rFonts w:ascii="Times New Roman" w:hAnsi="Times New Roman" w:cs="Times New Roman"/>
          <w:sz w:val="24"/>
          <w:szCs w:val="24"/>
        </w:rPr>
      </w:pPr>
      <w:r w:rsidRPr="002C210E">
        <w:rPr>
          <w:rFonts w:ascii="Times New Roman" w:hAnsi="Times New Roman" w:cs="Times New Roman"/>
          <w:b/>
          <w:sz w:val="24"/>
          <w:szCs w:val="24"/>
        </w:rPr>
        <w:t xml:space="preserve">First, </w:t>
      </w:r>
      <w:r w:rsidR="003068BF" w:rsidRPr="002C210E">
        <w:rPr>
          <w:rFonts w:ascii="Times New Roman" w:hAnsi="Times New Roman" w:cs="Times New Roman"/>
          <w:b/>
          <w:sz w:val="24"/>
          <w:szCs w:val="24"/>
        </w:rPr>
        <w:t>China’s central bank has been implementing very loose monetary policy</w:t>
      </w:r>
      <w:r w:rsidR="003068BF">
        <w:rPr>
          <w:rFonts w:ascii="Times New Roman" w:hAnsi="Times New Roman" w:cs="Times New Roman"/>
          <w:sz w:val="24"/>
          <w:szCs w:val="24"/>
        </w:rPr>
        <w:t>. The YoY growth rate of M2 is 13.3% in 2015 and 11.3% in 2016. The average sales price of new residential buildings in all cities and towns was 1,854 RMB/m2 in 1998 and 7,203 RMB/m2 in 2016</w:t>
      </w:r>
      <w:r w:rsidR="006E1934">
        <w:rPr>
          <w:rFonts w:ascii="Times New Roman" w:hAnsi="Times New Roman" w:cs="Times New Roman"/>
          <w:sz w:val="24"/>
          <w:szCs w:val="24"/>
        </w:rPr>
        <w:t xml:space="preserve">. The ratio of the </w:t>
      </w:r>
      <w:r w:rsidR="002C210E">
        <w:rPr>
          <w:rFonts w:ascii="Times New Roman" w:hAnsi="Times New Roman" w:cs="Times New Roman"/>
          <w:sz w:val="24"/>
          <w:szCs w:val="24"/>
        </w:rPr>
        <w:t xml:space="preserve">average </w:t>
      </w:r>
      <w:r w:rsidR="006E1934">
        <w:rPr>
          <w:rFonts w:ascii="Times New Roman" w:hAnsi="Times New Roman" w:cs="Times New Roman"/>
          <w:sz w:val="24"/>
          <w:szCs w:val="24"/>
        </w:rPr>
        <w:t xml:space="preserve">price in 2016 over that in 1998 is 3.89 (in some areas in Shanghai and Beijing, the housing price increased more than 10 folds). </w:t>
      </w:r>
      <w:proofErr w:type="gramStart"/>
      <w:r w:rsidR="006E1934">
        <w:rPr>
          <w:rFonts w:ascii="Times New Roman" w:hAnsi="Times New Roman" w:cs="Times New Roman"/>
          <w:sz w:val="24"/>
          <w:szCs w:val="24"/>
        </w:rPr>
        <w:t>But</w:t>
      </w:r>
      <w:proofErr w:type="gramEnd"/>
      <w:r w:rsidR="006E1934">
        <w:rPr>
          <w:rFonts w:ascii="Times New Roman" w:hAnsi="Times New Roman" w:cs="Times New Roman"/>
          <w:sz w:val="24"/>
          <w:szCs w:val="24"/>
        </w:rPr>
        <w:t xml:space="preserve"> the ratio of M2 in 2016 over M2 in 1998 is 14.83.</w:t>
      </w:r>
    </w:p>
    <w:p w:rsidR="0023272E" w:rsidRDefault="006E1934" w:rsidP="005719F8">
      <w:pPr>
        <w:spacing w:before="120" w:after="120" w:line="360" w:lineRule="auto"/>
        <w:jc w:val="both"/>
        <w:rPr>
          <w:rFonts w:ascii="Times New Roman" w:hAnsi="Times New Roman" w:cs="Times New Roman"/>
          <w:sz w:val="24"/>
          <w:szCs w:val="24"/>
        </w:rPr>
      </w:pPr>
      <w:r w:rsidRPr="007B33D6">
        <w:rPr>
          <w:rFonts w:ascii="Times New Roman" w:hAnsi="Times New Roman" w:cs="Times New Roman"/>
          <w:b/>
          <w:sz w:val="24"/>
          <w:szCs w:val="24"/>
        </w:rPr>
        <w:t>The second reason is subtle</w:t>
      </w:r>
      <w:r>
        <w:rPr>
          <w:rFonts w:ascii="Times New Roman" w:hAnsi="Times New Roman" w:cs="Times New Roman"/>
          <w:sz w:val="24"/>
          <w:szCs w:val="24"/>
        </w:rPr>
        <w:t xml:space="preserve">. Starting from July 2014, China’s foreign exchange reserves had begun to drop dramatically. </w:t>
      </w:r>
      <w:r w:rsidR="003807C9" w:rsidRPr="006E1934">
        <w:rPr>
          <w:rFonts w:ascii="Times New Roman" w:hAnsi="Times New Roman" w:cs="Times New Roman"/>
          <w:sz w:val="24"/>
          <w:szCs w:val="24"/>
        </w:rPr>
        <w:t>To keep reserves and fight capital flight, governments at various levels started igniting the housing market</w:t>
      </w:r>
      <w:r>
        <w:rPr>
          <w:rFonts w:ascii="Times New Roman" w:hAnsi="Times New Roman" w:cs="Times New Roman"/>
          <w:sz w:val="24"/>
          <w:szCs w:val="24"/>
        </w:rPr>
        <w:t>s</w:t>
      </w:r>
      <w:r w:rsidR="003807C9" w:rsidRPr="006E1934">
        <w:rPr>
          <w:rFonts w:ascii="Times New Roman" w:hAnsi="Times New Roman" w:cs="Times New Roman"/>
          <w:sz w:val="24"/>
          <w:szCs w:val="24"/>
        </w:rPr>
        <w:t>.</w:t>
      </w:r>
    </w:p>
    <w:p w:rsidR="0023272E" w:rsidRDefault="003807C9" w:rsidP="005719F8">
      <w:pPr>
        <w:spacing w:before="120" w:after="120" w:line="360" w:lineRule="auto"/>
        <w:jc w:val="both"/>
        <w:rPr>
          <w:rFonts w:ascii="Times New Roman" w:hAnsi="Times New Roman" w:cs="Times New Roman"/>
          <w:sz w:val="24"/>
          <w:szCs w:val="24"/>
        </w:rPr>
      </w:pPr>
      <w:r w:rsidRPr="006E1934">
        <w:rPr>
          <w:rFonts w:ascii="Times New Roman" w:hAnsi="Times New Roman" w:cs="Times New Roman"/>
          <w:sz w:val="24"/>
          <w:szCs w:val="24"/>
        </w:rPr>
        <w:t xml:space="preserve">By the end of Aug 2014, 35 out of 46 </w:t>
      </w:r>
      <w:proofErr w:type="gramStart"/>
      <w:r w:rsidRPr="006E1934">
        <w:rPr>
          <w:rFonts w:ascii="Times New Roman" w:hAnsi="Times New Roman" w:cs="Times New Roman"/>
          <w:sz w:val="24"/>
          <w:szCs w:val="24"/>
        </w:rPr>
        <w:t>cities which had put restrictions on purchasing houses</w:t>
      </w:r>
      <w:proofErr w:type="gramEnd"/>
      <w:r w:rsidRPr="006E1934">
        <w:rPr>
          <w:rFonts w:ascii="Times New Roman" w:hAnsi="Times New Roman" w:cs="Times New Roman"/>
          <w:sz w:val="24"/>
          <w:szCs w:val="24"/>
        </w:rPr>
        <w:t xml:space="preserve"> lifted the restrictions and even gave home-buyers incentives, such as 20% down payments </w:t>
      </w:r>
      <w:r w:rsidR="006E1934">
        <w:rPr>
          <w:rFonts w:ascii="Times New Roman" w:hAnsi="Times New Roman" w:cs="Times New Roman"/>
          <w:sz w:val="24"/>
          <w:szCs w:val="24"/>
        </w:rPr>
        <w:t xml:space="preserve">instead of </w:t>
      </w:r>
      <w:r w:rsidR="007B33D6">
        <w:rPr>
          <w:rFonts w:ascii="Times New Roman" w:hAnsi="Times New Roman" w:cs="Times New Roman"/>
          <w:sz w:val="24"/>
          <w:szCs w:val="24"/>
        </w:rPr>
        <w:t>standard</w:t>
      </w:r>
      <w:r w:rsidR="006E1934">
        <w:rPr>
          <w:rFonts w:ascii="Times New Roman" w:hAnsi="Times New Roman" w:cs="Times New Roman"/>
          <w:sz w:val="24"/>
          <w:szCs w:val="24"/>
        </w:rPr>
        <w:t xml:space="preserve"> 30% down payments </w:t>
      </w:r>
      <w:r w:rsidRPr="006E1934">
        <w:rPr>
          <w:rFonts w:ascii="Times New Roman" w:hAnsi="Times New Roman" w:cs="Times New Roman"/>
          <w:sz w:val="24"/>
          <w:szCs w:val="24"/>
        </w:rPr>
        <w:t>and discount</w:t>
      </w:r>
      <w:r w:rsidR="006E1934">
        <w:rPr>
          <w:rFonts w:ascii="Times New Roman" w:hAnsi="Times New Roman" w:cs="Times New Roman"/>
          <w:sz w:val="24"/>
          <w:szCs w:val="24"/>
        </w:rPr>
        <w:t>s</w:t>
      </w:r>
      <w:r w:rsidRPr="006E1934">
        <w:rPr>
          <w:rFonts w:ascii="Times New Roman" w:hAnsi="Times New Roman" w:cs="Times New Roman"/>
          <w:sz w:val="24"/>
          <w:szCs w:val="24"/>
        </w:rPr>
        <w:t xml:space="preserve"> </w:t>
      </w:r>
      <w:r w:rsidR="007B33D6">
        <w:rPr>
          <w:rFonts w:ascii="Times New Roman" w:hAnsi="Times New Roman" w:cs="Times New Roman"/>
          <w:sz w:val="24"/>
          <w:szCs w:val="24"/>
        </w:rPr>
        <w:t xml:space="preserve">for </w:t>
      </w:r>
      <w:r w:rsidRPr="006E1934">
        <w:rPr>
          <w:rFonts w:ascii="Times New Roman" w:hAnsi="Times New Roman" w:cs="Times New Roman"/>
          <w:sz w:val="24"/>
          <w:szCs w:val="24"/>
        </w:rPr>
        <w:t>mortgage rates.</w:t>
      </w:r>
      <w:r w:rsidR="00466596">
        <w:rPr>
          <w:rFonts w:ascii="Times New Roman" w:hAnsi="Times New Roman" w:cs="Times New Roman"/>
          <w:sz w:val="24"/>
          <w:szCs w:val="24"/>
        </w:rPr>
        <w:t xml:space="preserve"> </w:t>
      </w:r>
      <w:r w:rsidRPr="006E1934">
        <w:rPr>
          <w:rFonts w:ascii="Times New Roman" w:hAnsi="Times New Roman" w:cs="Times New Roman"/>
          <w:sz w:val="24"/>
          <w:szCs w:val="24"/>
        </w:rPr>
        <w:t xml:space="preserve">In 2015, the China’s Central Bank cut </w:t>
      </w:r>
      <w:r w:rsidR="007B33D6">
        <w:rPr>
          <w:rFonts w:ascii="Times New Roman" w:hAnsi="Times New Roman" w:cs="Times New Roman"/>
          <w:sz w:val="24"/>
          <w:szCs w:val="24"/>
        </w:rPr>
        <w:t xml:space="preserve">its </w:t>
      </w:r>
      <w:r w:rsidRPr="006E1934">
        <w:rPr>
          <w:rFonts w:ascii="Times New Roman" w:hAnsi="Times New Roman" w:cs="Times New Roman"/>
          <w:sz w:val="24"/>
          <w:szCs w:val="24"/>
        </w:rPr>
        <w:t>bench</w:t>
      </w:r>
      <w:r w:rsidR="007B33D6">
        <w:rPr>
          <w:rFonts w:ascii="Times New Roman" w:hAnsi="Times New Roman" w:cs="Times New Roman"/>
          <w:sz w:val="24"/>
          <w:szCs w:val="24"/>
        </w:rPr>
        <w:t>mark</w:t>
      </w:r>
      <w:r w:rsidRPr="006E1934">
        <w:rPr>
          <w:rFonts w:ascii="Times New Roman" w:hAnsi="Times New Roman" w:cs="Times New Roman"/>
          <w:sz w:val="24"/>
          <w:szCs w:val="24"/>
        </w:rPr>
        <w:t xml:space="preserve"> rate or deposit reserve ratio 5 times.</w:t>
      </w:r>
    </w:p>
    <w:p w:rsidR="00466596" w:rsidRDefault="00466596" w:rsidP="005719F8">
      <w:pPr>
        <w:spacing w:before="120" w:after="120" w:line="360" w:lineRule="auto"/>
        <w:jc w:val="both"/>
        <w:rPr>
          <w:rFonts w:ascii="Times New Roman" w:hAnsi="Times New Roman" w:cs="Times New Roman"/>
          <w:sz w:val="24"/>
          <w:szCs w:val="24"/>
        </w:rPr>
      </w:pPr>
      <w:r w:rsidRPr="007B33D6">
        <w:rPr>
          <w:rFonts w:ascii="Times New Roman" w:hAnsi="Times New Roman" w:cs="Times New Roman"/>
          <w:b/>
          <w:sz w:val="24"/>
          <w:szCs w:val="24"/>
        </w:rPr>
        <w:t>The third reason is that prior to 2015, many 3</w:t>
      </w:r>
      <w:r w:rsidRPr="007B33D6">
        <w:rPr>
          <w:rFonts w:ascii="Times New Roman" w:hAnsi="Times New Roman" w:cs="Times New Roman"/>
          <w:b/>
          <w:sz w:val="24"/>
          <w:szCs w:val="24"/>
          <w:vertAlign w:val="superscript"/>
        </w:rPr>
        <w:t>rd</w:t>
      </w:r>
      <w:r w:rsidRPr="007B33D6">
        <w:rPr>
          <w:rFonts w:ascii="Times New Roman" w:hAnsi="Times New Roman" w:cs="Times New Roman"/>
          <w:b/>
          <w:sz w:val="24"/>
          <w:szCs w:val="24"/>
        </w:rPr>
        <w:t xml:space="preserve">-, and </w:t>
      </w:r>
      <w:proofErr w:type="gramStart"/>
      <w:r w:rsidRPr="007B33D6">
        <w:rPr>
          <w:rFonts w:ascii="Times New Roman" w:hAnsi="Times New Roman" w:cs="Times New Roman"/>
          <w:b/>
          <w:sz w:val="24"/>
          <w:szCs w:val="24"/>
        </w:rPr>
        <w:t>4</w:t>
      </w:r>
      <w:r w:rsidRPr="007B33D6">
        <w:rPr>
          <w:rFonts w:ascii="Times New Roman" w:hAnsi="Times New Roman" w:cs="Times New Roman"/>
          <w:b/>
          <w:sz w:val="24"/>
          <w:szCs w:val="24"/>
          <w:vertAlign w:val="superscript"/>
        </w:rPr>
        <w:t>th</w:t>
      </w:r>
      <w:proofErr w:type="gramEnd"/>
      <w:r w:rsidRPr="007B33D6">
        <w:rPr>
          <w:rFonts w:ascii="Times New Roman" w:hAnsi="Times New Roman" w:cs="Times New Roman"/>
          <w:b/>
          <w:sz w:val="24"/>
          <w:szCs w:val="24"/>
        </w:rPr>
        <w:t>- tie</w:t>
      </w:r>
      <w:r w:rsidR="005719F8" w:rsidRPr="007B33D6">
        <w:rPr>
          <w:rFonts w:ascii="Times New Roman" w:hAnsi="Times New Roman" w:cs="Times New Roman"/>
          <w:b/>
          <w:sz w:val="24"/>
          <w:szCs w:val="24"/>
        </w:rPr>
        <w:t>r</w:t>
      </w:r>
      <w:r w:rsidRPr="007B33D6">
        <w:rPr>
          <w:rFonts w:ascii="Times New Roman" w:hAnsi="Times New Roman" w:cs="Times New Roman"/>
          <w:b/>
          <w:sz w:val="24"/>
          <w:szCs w:val="24"/>
        </w:rPr>
        <w:t xml:space="preserve"> cities had too many empty houses, or ‘inventories’. To reduce inventories, governments changed the compensation policy.</w:t>
      </w:r>
      <w:r>
        <w:rPr>
          <w:rFonts w:ascii="Times New Roman" w:hAnsi="Times New Roman" w:cs="Times New Roman"/>
          <w:sz w:val="24"/>
          <w:szCs w:val="24"/>
        </w:rPr>
        <w:t xml:space="preserve"> Prior to 2015, 70% of residents whose houses </w:t>
      </w:r>
      <w:proofErr w:type="gramStart"/>
      <w:r>
        <w:rPr>
          <w:rFonts w:ascii="Times New Roman" w:hAnsi="Times New Roman" w:cs="Times New Roman"/>
          <w:sz w:val="24"/>
          <w:szCs w:val="24"/>
        </w:rPr>
        <w:t>were demolished</w:t>
      </w:r>
      <w:proofErr w:type="gramEnd"/>
      <w:r>
        <w:rPr>
          <w:rFonts w:ascii="Times New Roman" w:hAnsi="Times New Roman" w:cs="Times New Roman"/>
          <w:sz w:val="24"/>
          <w:szCs w:val="24"/>
        </w:rPr>
        <w:t xml:space="preserve"> by local government</w:t>
      </w:r>
      <w:r w:rsidR="007B33D6">
        <w:rPr>
          <w:rFonts w:ascii="Times New Roman" w:hAnsi="Times New Roman" w:cs="Times New Roman"/>
          <w:sz w:val="24"/>
          <w:szCs w:val="24"/>
        </w:rPr>
        <w:t>s</w:t>
      </w:r>
      <w:r>
        <w:rPr>
          <w:rFonts w:ascii="Times New Roman" w:hAnsi="Times New Roman" w:cs="Times New Roman"/>
          <w:sz w:val="24"/>
          <w:szCs w:val="24"/>
        </w:rPr>
        <w:t xml:space="preserve"> were given new houses and cash as compensation. In 2015, 48.5% of residents </w:t>
      </w:r>
      <w:proofErr w:type="gramStart"/>
      <w:r>
        <w:rPr>
          <w:rFonts w:ascii="Times New Roman" w:hAnsi="Times New Roman" w:cs="Times New Roman"/>
          <w:sz w:val="24"/>
          <w:szCs w:val="24"/>
        </w:rPr>
        <w:t>were given</w:t>
      </w:r>
      <w:proofErr w:type="gramEnd"/>
      <w:r>
        <w:rPr>
          <w:rFonts w:ascii="Times New Roman" w:hAnsi="Times New Roman" w:cs="Times New Roman"/>
          <w:sz w:val="24"/>
          <w:szCs w:val="24"/>
        </w:rPr>
        <w:t xml:space="preserve"> cash only. They were encouraged to purchase houses from ‘inventories’.</w:t>
      </w:r>
    </w:p>
    <w:p w:rsidR="005719F8" w:rsidRDefault="005719F8" w:rsidP="005719F8">
      <w:pPr>
        <w:spacing w:before="120" w:after="120" w:line="360" w:lineRule="auto"/>
        <w:jc w:val="both"/>
        <w:rPr>
          <w:rFonts w:ascii="Times New Roman" w:hAnsi="Times New Roman" w:cs="Times New Roman"/>
          <w:sz w:val="24"/>
          <w:szCs w:val="24"/>
        </w:rPr>
      </w:pPr>
    </w:p>
    <w:p w:rsidR="00466596" w:rsidRPr="005719F8" w:rsidRDefault="00466596" w:rsidP="005719F8">
      <w:pPr>
        <w:pStyle w:val="ListParagraph"/>
        <w:numPr>
          <w:ilvl w:val="0"/>
          <w:numId w:val="3"/>
        </w:numPr>
        <w:spacing w:before="120" w:after="120" w:line="360" w:lineRule="auto"/>
        <w:jc w:val="both"/>
        <w:rPr>
          <w:b/>
        </w:rPr>
      </w:pPr>
      <w:r w:rsidRPr="005719F8">
        <w:rPr>
          <w:b/>
        </w:rPr>
        <w:t>New Direction for the Housing Market</w:t>
      </w:r>
    </w:p>
    <w:p w:rsidR="00466596" w:rsidRDefault="00466596" w:rsidP="005719F8">
      <w:pPr>
        <w:spacing w:before="120" w:after="120" w:line="360" w:lineRule="auto"/>
        <w:jc w:val="both"/>
        <w:rPr>
          <w:rFonts w:ascii="Times New Roman" w:hAnsi="Times New Roman" w:cs="Times New Roman"/>
          <w:sz w:val="24"/>
          <w:szCs w:val="24"/>
        </w:rPr>
      </w:pPr>
      <w:r w:rsidRPr="00466596">
        <w:rPr>
          <w:rFonts w:ascii="Times New Roman" w:hAnsi="Times New Roman" w:cs="Times New Roman"/>
          <w:sz w:val="24"/>
          <w:szCs w:val="24"/>
        </w:rPr>
        <w:t>At the 19th Party Congress</w:t>
      </w:r>
      <w:r w:rsidR="005719F8">
        <w:rPr>
          <w:rFonts w:ascii="Times New Roman" w:hAnsi="Times New Roman" w:cs="Times New Roman"/>
          <w:sz w:val="24"/>
          <w:szCs w:val="24"/>
        </w:rPr>
        <w:t xml:space="preserve"> last month</w:t>
      </w:r>
      <w:r w:rsidRPr="00466596">
        <w:rPr>
          <w:rFonts w:ascii="Times New Roman" w:hAnsi="Times New Roman" w:cs="Times New Roman"/>
          <w:sz w:val="24"/>
          <w:szCs w:val="24"/>
        </w:rPr>
        <w:t xml:space="preserve">, President Xi Jinping </w:t>
      </w:r>
      <w:proofErr w:type="gramStart"/>
      <w:r w:rsidRPr="00466596">
        <w:rPr>
          <w:rFonts w:ascii="Times New Roman" w:hAnsi="Times New Roman" w:cs="Times New Roman"/>
          <w:sz w:val="24"/>
          <w:szCs w:val="24"/>
        </w:rPr>
        <w:t>said that</w:t>
      </w:r>
      <w:proofErr w:type="gramEnd"/>
      <w:r w:rsidRPr="00466596">
        <w:rPr>
          <w:rFonts w:ascii="Times New Roman" w:hAnsi="Times New Roman" w:cs="Times New Roman"/>
          <w:sz w:val="24"/>
          <w:szCs w:val="24"/>
        </w:rPr>
        <w:t xml:space="preserve"> “</w:t>
      </w:r>
      <w:r w:rsidRPr="005719F8">
        <w:rPr>
          <w:rFonts w:ascii="Times New Roman" w:hAnsi="Times New Roman" w:cs="Times New Roman"/>
          <w:b/>
          <w:color w:val="C00000"/>
          <w:sz w:val="24"/>
          <w:szCs w:val="24"/>
        </w:rPr>
        <w:t>Houses are built to be inhabited, not for speculation</w:t>
      </w:r>
      <w:r>
        <w:rPr>
          <w:rFonts w:ascii="Times New Roman" w:hAnsi="Times New Roman" w:cs="Times New Roman"/>
          <w:sz w:val="24"/>
          <w:szCs w:val="24"/>
        </w:rPr>
        <w:t xml:space="preserve">. </w:t>
      </w:r>
      <w:r w:rsidRPr="00466596">
        <w:rPr>
          <w:rFonts w:ascii="Times New Roman" w:hAnsi="Times New Roman" w:cs="Times New Roman"/>
          <w:sz w:val="24"/>
          <w:szCs w:val="24"/>
        </w:rPr>
        <w:t>China will accelerate establishing a system with supply from multiple parties, affordability from different channels, and make rental housing as important as home purchasing.</w:t>
      </w:r>
      <w:r>
        <w:rPr>
          <w:rFonts w:ascii="Times New Roman" w:hAnsi="Times New Roman" w:cs="Times New Roman"/>
          <w:sz w:val="24"/>
          <w:szCs w:val="24"/>
        </w:rPr>
        <w:t>”</w:t>
      </w:r>
    </w:p>
    <w:p w:rsidR="00466596" w:rsidRDefault="00466596" w:rsidP="005719F8">
      <w:pPr>
        <w:spacing w:before="120" w:after="120" w:line="360" w:lineRule="auto"/>
        <w:jc w:val="both"/>
        <w:rPr>
          <w:rFonts w:ascii="Times New Roman" w:hAnsi="Times New Roman" w:cs="Times New Roman"/>
          <w:sz w:val="24"/>
          <w:szCs w:val="24"/>
        </w:rPr>
      </w:pPr>
      <w:r w:rsidRPr="007B33D6">
        <w:rPr>
          <w:rFonts w:ascii="Times New Roman" w:hAnsi="Times New Roman" w:cs="Times New Roman"/>
          <w:b/>
          <w:sz w:val="24"/>
          <w:szCs w:val="24"/>
        </w:rPr>
        <w:t>All other officials in China will follow Xi</w:t>
      </w:r>
      <w:r>
        <w:rPr>
          <w:rFonts w:ascii="Times New Roman" w:hAnsi="Times New Roman" w:cs="Times New Roman"/>
          <w:sz w:val="24"/>
          <w:szCs w:val="24"/>
        </w:rPr>
        <w:t xml:space="preserve">. Factors determining housing prices are </w:t>
      </w:r>
      <w:r w:rsidRPr="007B33D6">
        <w:rPr>
          <w:rFonts w:ascii="Times New Roman" w:hAnsi="Times New Roman" w:cs="Times New Roman"/>
          <w:b/>
          <w:sz w:val="24"/>
          <w:szCs w:val="24"/>
        </w:rPr>
        <w:t xml:space="preserve">population migration (long-term factor), land supply (medium-term factor), and monetary policy (short-term factor). </w:t>
      </w:r>
    </w:p>
    <w:p w:rsidR="005719F8" w:rsidRDefault="00466596" w:rsidP="005719F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Governments at all levels in China do NOT want t</w:t>
      </w:r>
      <w:r w:rsidR="005719F8">
        <w:rPr>
          <w:rFonts w:ascii="Times New Roman" w:hAnsi="Times New Roman" w:cs="Times New Roman"/>
          <w:sz w:val="24"/>
          <w:szCs w:val="24"/>
        </w:rPr>
        <w:t xml:space="preserve">o see real estate markets to collapse. Many local governments’ revenues are still dependent on this sector. </w:t>
      </w:r>
    </w:p>
    <w:p w:rsidR="005719F8" w:rsidRDefault="005719F8" w:rsidP="005719F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If I had to make a prediction, which is impossible to do, I would say </w:t>
      </w:r>
      <w:r w:rsidRPr="007B33D6">
        <w:rPr>
          <w:rFonts w:ascii="Times New Roman" w:hAnsi="Times New Roman" w:cs="Times New Roman"/>
          <w:b/>
          <w:sz w:val="24"/>
          <w:szCs w:val="24"/>
        </w:rPr>
        <w:t>the party for the housing market is almost over.</w:t>
      </w:r>
      <w:r>
        <w:rPr>
          <w:rFonts w:ascii="Times New Roman" w:hAnsi="Times New Roman" w:cs="Times New Roman"/>
          <w:sz w:val="24"/>
          <w:szCs w:val="24"/>
        </w:rPr>
        <w:t xml:space="preserve"> </w:t>
      </w:r>
    </w:p>
    <w:p w:rsidR="00466596" w:rsidRDefault="005719F8" w:rsidP="005719F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first-tier cities, such as Shanghai, Beijing and Shenzhen, there might be a modest decline in the next 2-3 years. The potential demand for houses in these cities is huge. In today’s Shanghai, people need to enter lottery to purchase some newly constructed houses whose prices </w:t>
      </w:r>
      <w:proofErr w:type="gramStart"/>
      <w:r>
        <w:rPr>
          <w:rFonts w:ascii="Times New Roman" w:hAnsi="Times New Roman" w:cs="Times New Roman"/>
          <w:sz w:val="24"/>
          <w:szCs w:val="24"/>
        </w:rPr>
        <w:t>are set</w:t>
      </w:r>
      <w:proofErr w:type="gramEnd"/>
      <w:r>
        <w:rPr>
          <w:rFonts w:ascii="Times New Roman" w:hAnsi="Times New Roman" w:cs="Times New Roman"/>
          <w:sz w:val="24"/>
          <w:szCs w:val="24"/>
        </w:rPr>
        <w:t xml:space="preserve"> partly by local governments (artificially low).</w:t>
      </w:r>
    </w:p>
    <w:p w:rsidR="005719F8" w:rsidRPr="00466596" w:rsidRDefault="005719F8" w:rsidP="005719F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w:t>
      </w:r>
      <w:proofErr w:type="gramStart"/>
      <w:r>
        <w:rPr>
          <w:rFonts w:ascii="Times New Roman" w:hAnsi="Times New Roman" w:cs="Times New Roman"/>
          <w:sz w:val="24"/>
          <w:szCs w:val="24"/>
        </w:rPr>
        <w:t>3</w:t>
      </w:r>
      <w:r w:rsidRPr="005719F8">
        <w:rPr>
          <w:rFonts w:ascii="Times New Roman" w:hAnsi="Times New Roman" w:cs="Times New Roman"/>
          <w:sz w:val="24"/>
          <w:szCs w:val="24"/>
          <w:vertAlign w:val="superscript"/>
        </w:rPr>
        <w:t>rd</w:t>
      </w:r>
      <w:proofErr w:type="gramEnd"/>
      <w:r>
        <w:rPr>
          <w:rFonts w:ascii="Times New Roman" w:hAnsi="Times New Roman" w:cs="Times New Roman"/>
          <w:sz w:val="24"/>
          <w:szCs w:val="24"/>
        </w:rPr>
        <w:t>- and 4</w:t>
      </w:r>
      <w:r w:rsidRPr="005719F8">
        <w:rPr>
          <w:rFonts w:ascii="Times New Roman" w:hAnsi="Times New Roman" w:cs="Times New Roman"/>
          <w:sz w:val="24"/>
          <w:szCs w:val="24"/>
          <w:vertAlign w:val="superscript"/>
        </w:rPr>
        <w:t>th</w:t>
      </w:r>
      <w:r>
        <w:rPr>
          <w:rFonts w:ascii="Times New Roman" w:hAnsi="Times New Roman" w:cs="Times New Roman"/>
          <w:sz w:val="24"/>
          <w:szCs w:val="24"/>
        </w:rPr>
        <w:t>- tier cities, many will see housing prices to drop up to 30%.</w:t>
      </w:r>
    </w:p>
    <w:p w:rsidR="00466596" w:rsidRPr="00466596" w:rsidRDefault="00466596" w:rsidP="005719F8">
      <w:pPr>
        <w:spacing w:before="120" w:after="120" w:line="360" w:lineRule="auto"/>
        <w:jc w:val="both"/>
        <w:rPr>
          <w:rFonts w:ascii="Times New Roman" w:hAnsi="Times New Roman" w:cs="Times New Roman"/>
          <w:sz w:val="24"/>
          <w:szCs w:val="24"/>
        </w:rPr>
      </w:pPr>
    </w:p>
    <w:p w:rsidR="00466596" w:rsidRPr="00466596" w:rsidRDefault="00466596" w:rsidP="005719F8">
      <w:pPr>
        <w:pStyle w:val="ListParagraph"/>
        <w:numPr>
          <w:ilvl w:val="0"/>
          <w:numId w:val="3"/>
        </w:numPr>
        <w:spacing w:before="120" w:after="120" w:line="360" w:lineRule="auto"/>
        <w:jc w:val="both"/>
        <w:rPr>
          <w:b/>
        </w:rPr>
      </w:pPr>
      <w:r>
        <w:rPr>
          <w:rFonts w:eastAsiaTheme="minorEastAsia"/>
          <w:b/>
        </w:rPr>
        <w:t>The Shadow Banking Sector</w:t>
      </w:r>
    </w:p>
    <w:p w:rsidR="00466596" w:rsidRPr="003C2D18" w:rsidRDefault="003C2D18" w:rsidP="003C2D1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both Moody’s and Fitch Rating, China’s </w:t>
      </w:r>
      <w:r w:rsidRPr="003C2D18">
        <w:rPr>
          <w:rFonts w:ascii="Times New Roman" w:hAnsi="Times New Roman" w:cs="Times New Roman"/>
          <w:sz w:val="24"/>
          <w:szCs w:val="24"/>
        </w:rPr>
        <w:t>shadow-banking sector has shrunk in response to the regulatory clampdown launched in early 2017, which could address certain risks to the financial system if it continues over the medium term</w:t>
      </w:r>
      <w:r w:rsidR="006844F0">
        <w:rPr>
          <w:rStyle w:val="FootnoteReference"/>
          <w:rFonts w:ascii="Times New Roman" w:hAnsi="Times New Roman" w:cs="Times New Roman"/>
          <w:sz w:val="24"/>
          <w:szCs w:val="24"/>
        </w:rPr>
        <w:footnoteReference w:id="1"/>
      </w:r>
      <w:r w:rsidRPr="003C2D18">
        <w:rPr>
          <w:rFonts w:ascii="Times New Roman" w:hAnsi="Times New Roman" w:cs="Times New Roman"/>
          <w:sz w:val="24"/>
          <w:szCs w:val="24"/>
        </w:rPr>
        <w:t>.</w:t>
      </w:r>
      <w:r w:rsidR="006844F0">
        <w:rPr>
          <w:rFonts w:hAnsi="Gill Sans MT" w:cs="STZhongsong"/>
          <w:color w:val="000000" w:themeColor="text1"/>
          <w:kern w:val="24"/>
          <w:sz w:val="64"/>
          <w:szCs w:val="64"/>
        </w:rPr>
        <w:t xml:space="preserve"> </w:t>
      </w:r>
      <w:r w:rsidR="006844F0" w:rsidRPr="006844F0">
        <w:rPr>
          <w:rFonts w:ascii="Times New Roman" w:hAnsi="Times New Roman" w:cs="Times New Roman"/>
          <w:sz w:val="24"/>
          <w:szCs w:val="24"/>
        </w:rPr>
        <w:t>The government's adoption of more coordinated policy measures to curb shadow banking will help mitigate asset risks for banks, and address some key imbalances in the financial system</w:t>
      </w:r>
      <w:r w:rsidR="006844F0">
        <w:rPr>
          <w:rStyle w:val="FootnoteReference"/>
          <w:rFonts w:ascii="Times New Roman" w:hAnsi="Times New Roman" w:cs="Times New Roman"/>
          <w:sz w:val="24"/>
          <w:szCs w:val="24"/>
        </w:rPr>
        <w:footnoteReference w:id="2"/>
      </w:r>
      <w:r w:rsidR="006844F0">
        <w:rPr>
          <w:rFonts w:ascii="Times New Roman" w:hAnsi="Times New Roman" w:cs="Times New Roman"/>
          <w:sz w:val="24"/>
          <w:szCs w:val="24"/>
        </w:rPr>
        <w:t>.</w:t>
      </w:r>
    </w:p>
    <w:p w:rsidR="006844F0" w:rsidRDefault="00E947C4" w:rsidP="006844F0">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w:t>
      </w:r>
      <w:r w:rsidR="003807C9" w:rsidRPr="006844F0">
        <w:rPr>
          <w:rFonts w:ascii="Times New Roman" w:hAnsi="Times New Roman" w:cs="Times New Roman"/>
          <w:sz w:val="24"/>
          <w:szCs w:val="24"/>
        </w:rPr>
        <w:t>ystem-wide inter-bank assets had fallen by 13.8% YoY as of end-August 2017. Growth in wealth management products (WMPs) continued to slow, with the interbank WMP balance falling by CNY 2.2 trillion from Jan</w:t>
      </w:r>
      <w:r w:rsidR="006844F0">
        <w:rPr>
          <w:rFonts w:ascii="Times New Roman" w:hAnsi="Times New Roman" w:cs="Times New Roman"/>
          <w:sz w:val="24"/>
          <w:szCs w:val="24"/>
        </w:rPr>
        <w:t>uary</w:t>
      </w:r>
      <w:r w:rsidR="003807C9" w:rsidRPr="006844F0">
        <w:rPr>
          <w:rFonts w:ascii="Times New Roman" w:hAnsi="Times New Roman" w:cs="Times New Roman"/>
          <w:sz w:val="24"/>
          <w:szCs w:val="24"/>
        </w:rPr>
        <w:t xml:space="preserve"> to Aug</w:t>
      </w:r>
      <w:r w:rsidR="006844F0">
        <w:rPr>
          <w:rFonts w:ascii="Times New Roman" w:hAnsi="Times New Roman" w:cs="Times New Roman"/>
          <w:sz w:val="24"/>
          <w:szCs w:val="24"/>
        </w:rPr>
        <w:t>ust</w:t>
      </w:r>
      <w:r w:rsidR="003807C9" w:rsidRPr="006844F0">
        <w:rPr>
          <w:rFonts w:ascii="Times New Roman" w:hAnsi="Times New Roman" w:cs="Times New Roman"/>
          <w:sz w:val="24"/>
          <w:szCs w:val="24"/>
        </w:rPr>
        <w:t xml:space="preserve"> 2017.</w:t>
      </w:r>
      <w:r w:rsidR="006844F0">
        <w:rPr>
          <w:rFonts w:ascii="Times New Roman" w:hAnsi="Times New Roman" w:cs="Times New Roman"/>
          <w:sz w:val="24"/>
          <w:szCs w:val="24"/>
        </w:rPr>
        <w:t xml:space="preserve"> </w:t>
      </w:r>
      <w:r w:rsidR="006844F0" w:rsidRPr="006844F0">
        <w:rPr>
          <w:rFonts w:ascii="Times New Roman" w:hAnsi="Times New Roman" w:cs="Times New Roman"/>
          <w:sz w:val="24"/>
          <w:szCs w:val="24"/>
        </w:rPr>
        <w:t xml:space="preserve">The </w:t>
      </w:r>
      <w:r w:rsidR="006844F0">
        <w:rPr>
          <w:rFonts w:ascii="Times New Roman" w:hAnsi="Times New Roman" w:cs="Times New Roman"/>
          <w:sz w:val="24"/>
          <w:szCs w:val="24"/>
        </w:rPr>
        <w:t>China Banking Regulatory Commission (</w:t>
      </w:r>
      <w:r w:rsidR="006844F0" w:rsidRPr="006844F0">
        <w:rPr>
          <w:rFonts w:ascii="Times New Roman" w:hAnsi="Times New Roman" w:cs="Times New Roman"/>
          <w:sz w:val="24"/>
          <w:szCs w:val="24"/>
        </w:rPr>
        <w:t>CBRC</w:t>
      </w:r>
      <w:r w:rsidR="006844F0">
        <w:rPr>
          <w:rFonts w:ascii="Times New Roman" w:hAnsi="Times New Roman" w:cs="Times New Roman"/>
          <w:sz w:val="24"/>
          <w:szCs w:val="24"/>
        </w:rPr>
        <w:t>)</w:t>
      </w:r>
      <w:r w:rsidR="006844F0" w:rsidRPr="006844F0">
        <w:rPr>
          <w:rFonts w:ascii="Times New Roman" w:hAnsi="Times New Roman" w:cs="Times New Roman"/>
          <w:sz w:val="24"/>
          <w:szCs w:val="24"/>
        </w:rPr>
        <w:t xml:space="preserve"> emphasi</w:t>
      </w:r>
      <w:r w:rsidR="006844F0">
        <w:rPr>
          <w:rFonts w:ascii="Times New Roman" w:hAnsi="Times New Roman" w:cs="Times New Roman"/>
          <w:sz w:val="24"/>
          <w:szCs w:val="24"/>
        </w:rPr>
        <w:t>zed</w:t>
      </w:r>
      <w:r w:rsidR="006844F0" w:rsidRPr="006844F0">
        <w:rPr>
          <w:rFonts w:ascii="Times New Roman" w:hAnsi="Times New Roman" w:cs="Times New Roman"/>
          <w:sz w:val="24"/>
          <w:szCs w:val="24"/>
        </w:rPr>
        <w:t xml:space="preserve"> its role in identifying threats and implementing necessary mitigating measures. </w:t>
      </w:r>
      <w:r>
        <w:rPr>
          <w:rFonts w:ascii="Times New Roman" w:hAnsi="Times New Roman" w:cs="Times New Roman"/>
          <w:sz w:val="24"/>
          <w:szCs w:val="24"/>
        </w:rPr>
        <w:t>It stated</w:t>
      </w:r>
      <w:r w:rsidR="006844F0" w:rsidRPr="006844F0">
        <w:rPr>
          <w:rFonts w:ascii="Times New Roman" w:hAnsi="Times New Roman" w:cs="Times New Roman"/>
          <w:sz w:val="24"/>
          <w:szCs w:val="24"/>
        </w:rPr>
        <w:t xml:space="preserve"> that any failure by the regulators to spot and handle risks in a timely manner </w:t>
      </w:r>
      <w:proofErr w:type="gramStart"/>
      <w:r w:rsidR="006844F0" w:rsidRPr="006844F0">
        <w:rPr>
          <w:rFonts w:ascii="Times New Roman" w:hAnsi="Times New Roman" w:cs="Times New Roman"/>
          <w:sz w:val="24"/>
          <w:szCs w:val="24"/>
        </w:rPr>
        <w:t>would be viewed</w:t>
      </w:r>
      <w:proofErr w:type="gramEnd"/>
      <w:r w:rsidR="006844F0" w:rsidRPr="006844F0">
        <w:rPr>
          <w:rFonts w:ascii="Times New Roman" w:hAnsi="Times New Roman" w:cs="Times New Roman"/>
          <w:sz w:val="24"/>
          <w:szCs w:val="24"/>
        </w:rPr>
        <w:t xml:space="preserve"> as a dereliction of duty. </w:t>
      </w:r>
    </w:p>
    <w:p w:rsidR="00ED63F3" w:rsidRPr="00FE7F09" w:rsidRDefault="002C210E" w:rsidP="005719F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In sum, China’s shadow banking sector is likely to face greater regulatory scrutiny in the near</w:t>
      </w:r>
      <w:r w:rsidR="007B33D6">
        <w:rPr>
          <w:rFonts w:ascii="Times New Roman" w:hAnsi="Times New Roman" w:cs="Times New Roman"/>
          <w:sz w:val="24"/>
          <w:szCs w:val="24"/>
        </w:rPr>
        <w:t>- to medium-</w:t>
      </w:r>
      <w:r>
        <w:rPr>
          <w:rFonts w:ascii="Times New Roman" w:hAnsi="Times New Roman" w:cs="Times New Roman"/>
          <w:sz w:val="24"/>
          <w:szCs w:val="24"/>
        </w:rPr>
        <w:t xml:space="preserve"> term. Whether it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ticking time bomb remains to be seen. </w:t>
      </w:r>
      <w:bookmarkStart w:id="0" w:name="_GoBack"/>
      <w:bookmarkEnd w:id="0"/>
    </w:p>
    <w:sectPr w:rsidR="00ED63F3" w:rsidRPr="00FE7F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2C9" w:rsidRDefault="000172C9" w:rsidP="006844F0">
      <w:pPr>
        <w:spacing w:after="0" w:line="240" w:lineRule="auto"/>
      </w:pPr>
      <w:r>
        <w:separator/>
      </w:r>
    </w:p>
  </w:endnote>
  <w:endnote w:type="continuationSeparator" w:id="0">
    <w:p w:rsidR="000172C9" w:rsidRDefault="000172C9" w:rsidP="0068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Gill Sans MT">
    <w:panose1 w:val="020B0502020104020203"/>
    <w:charset w:val="00"/>
    <w:family w:val="swiss"/>
    <w:pitch w:val="variable"/>
    <w:sig w:usb0="00000007" w:usb1="00000000" w:usb2="00000000" w:usb3="00000000" w:csb0="00000003" w:csb1="00000000"/>
  </w:font>
  <w:font w:name="STZhongsong">
    <w:altName w:val="华文中宋"/>
    <w:panose1 w:val="00000000000000000000"/>
    <w:charset w:val="86"/>
    <w:family w:val="roman"/>
    <w:notTrueType/>
    <w:pitch w:val="default"/>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505527"/>
      <w:docPartObj>
        <w:docPartGallery w:val="Page Numbers (Bottom of Page)"/>
        <w:docPartUnique/>
      </w:docPartObj>
    </w:sdtPr>
    <w:sdtEndPr>
      <w:rPr>
        <w:noProof/>
      </w:rPr>
    </w:sdtEndPr>
    <w:sdtContent>
      <w:p w:rsidR="006844F0" w:rsidRDefault="006844F0">
        <w:pPr>
          <w:pStyle w:val="Footer"/>
          <w:jc w:val="center"/>
        </w:pPr>
        <w:r>
          <w:fldChar w:fldCharType="begin"/>
        </w:r>
        <w:r>
          <w:instrText xml:space="preserve"> PAGE   \* MERGEFORMAT </w:instrText>
        </w:r>
        <w:r>
          <w:fldChar w:fldCharType="separate"/>
        </w:r>
        <w:r w:rsidR="000570AB">
          <w:rPr>
            <w:noProof/>
          </w:rPr>
          <w:t>2</w:t>
        </w:r>
        <w:r>
          <w:rPr>
            <w:noProof/>
          </w:rPr>
          <w:fldChar w:fldCharType="end"/>
        </w:r>
      </w:p>
    </w:sdtContent>
  </w:sdt>
  <w:p w:rsidR="006844F0" w:rsidRDefault="00684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2C9" w:rsidRDefault="000172C9" w:rsidP="006844F0">
      <w:pPr>
        <w:spacing w:after="0" w:line="240" w:lineRule="auto"/>
      </w:pPr>
      <w:r>
        <w:separator/>
      </w:r>
    </w:p>
  </w:footnote>
  <w:footnote w:type="continuationSeparator" w:id="0">
    <w:p w:rsidR="000172C9" w:rsidRDefault="000172C9" w:rsidP="006844F0">
      <w:pPr>
        <w:spacing w:after="0" w:line="240" w:lineRule="auto"/>
      </w:pPr>
      <w:r>
        <w:continuationSeparator/>
      </w:r>
    </w:p>
  </w:footnote>
  <w:footnote w:id="1">
    <w:p w:rsidR="006844F0" w:rsidRDefault="006844F0">
      <w:pPr>
        <w:pStyle w:val="FootnoteText"/>
      </w:pPr>
      <w:r>
        <w:rPr>
          <w:rStyle w:val="FootnoteReference"/>
        </w:rPr>
        <w:footnoteRef/>
      </w:r>
      <w:r>
        <w:t xml:space="preserve"> </w:t>
      </w:r>
      <w:r>
        <w:rPr>
          <w:rFonts w:hint="eastAsia"/>
        </w:rPr>
        <w:t>Fi</w:t>
      </w:r>
      <w:r>
        <w:t xml:space="preserve">tch Rating, </w:t>
      </w:r>
      <w:hyperlink r:id="rId1" w:history="1">
        <w:r w:rsidRPr="006844F0">
          <w:t>Fitch: China Making Progress in Shrinking Shadow Banking</w:t>
        </w:r>
      </w:hyperlink>
      <w:r>
        <w:t xml:space="preserve">, October 8, 2017. </w:t>
      </w:r>
      <w:hyperlink r:id="rId2" w:history="1">
        <w:r w:rsidRPr="00417E7A">
          <w:rPr>
            <w:rStyle w:val="Hyperlink"/>
          </w:rPr>
          <w:t>https://www.fitchratings.com/site/pr/1030373</w:t>
        </w:r>
      </w:hyperlink>
      <w:r>
        <w:t xml:space="preserve">. </w:t>
      </w:r>
    </w:p>
  </w:footnote>
  <w:footnote w:id="2">
    <w:p w:rsidR="006844F0" w:rsidRDefault="006844F0">
      <w:pPr>
        <w:pStyle w:val="FootnoteText"/>
      </w:pPr>
      <w:r>
        <w:rPr>
          <w:rStyle w:val="FootnoteReference"/>
        </w:rPr>
        <w:footnoteRef/>
      </w:r>
      <w:r>
        <w:t xml:space="preserve"> </w:t>
      </w:r>
      <w:r>
        <w:rPr>
          <w:rFonts w:hint="eastAsia"/>
        </w:rPr>
        <w:t>Moody</w:t>
      </w:r>
      <w:r>
        <w:t xml:space="preserve">’s, </w:t>
      </w:r>
      <w:r w:rsidRPr="006844F0">
        <w:t>Moody's changes outlook for China's banking system to stable from negative</w:t>
      </w:r>
      <w:r>
        <w:t xml:space="preserve">, </w:t>
      </w:r>
      <w:hyperlink r:id="rId3" w:history="1">
        <w:r w:rsidRPr="00417E7A">
          <w:rPr>
            <w:rStyle w:val="Hyperlink"/>
          </w:rPr>
          <w:t>https://www.moodys.com/research/Moodys-changes-outlook-for-Chinas-banking-system-to-stable-from--PR_370398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D6" w:rsidRDefault="007B33D6">
    <w:pPr>
      <w:pStyle w:val="Header"/>
    </w:pPr>
    <w:r>
      <w:t>For internal discussion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203EF"/>
    <w:multiLevelType w:val="hybridMultilevel"/>
    <w:tmpl w:val="10F616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1720D5"/>
    <w:multiLevelType w:val="hybridMultilevel"/>
    <w:tmpl w:val="A84C0C7E"/>
    <w:lvl w:ilvl="0" w:tplc="B0369238">
      <w:start w:val="1"/>
      <w:numFmt w:val="bullet"/>
      <w:lvlText w:val=""/>
      <w:lvlJc w:val="left"/>
      <w:pPr>
        <w:tabs>
          <w:tab w:val="num" w:pos="720"/>
        </w:tabs>
        <w:ind w:left="720" w:hanging="360"/>
      </w:pPr>
      <w:rPr>
        <w:rFonts w:ascii="Wingdings 2" w:hAnsi="Wingdings 2" w:hint="default"/>
      </w:rPr>
    </w:lvl>
    <w:lvl w:ilvl="1" w:tplc="026E9CA4" w:tentative="1">
      <w:start w:val="1"/>
      <w:numFmt w:val="bullet"/>
      <w:lvlText w:val=""/>
      <w:lvlJc w:val="left"/>
      <w:pPr>
        <w:tabs>
          <w:tab w:val="num" w:pos="1440"/>
        </w:tabs>
        <w:ind w:left="1440" w:hanging="360"/>
      </w:pPr>
      <w:rPr>
        <w:rFonts w:ascii="Wingdings 2" w:hAnsi="Wingdings 2" w:hint="default"/>
      </w:rPr>
    </w:lvl>
    <w:lvl w:ilvl="2" w:tplc="BC5C9AD8" w:tentative="1">
      <w:start w:val="1"/>
      <w:numFmt w:val="bullet"/>
      <w:lvlText w:val=""/>
      <w:lvlJc w:val="left"/>
      <w:pPr>
        <w:tabs>
          <w:tab w:val="num" w:pos="2160"/>
        </w:tabs>
        <w:ind w:left="2160" w:hanging="360"/>
      </w:pPr>
      <w:rPr>
        <w:rFonts w:ascii="Wingdings 2" w:hAnsi="Wingdings 2" w:hint="default"/>
      </w:rPr>
    </w:lvl>
    <w:lvl w:ilvl="3" w:tplc="B9DCC706" w:tentative="1">
      <w:start w:val="1"/>
      <w:numFmt w:val="bullet"/>
      <w:lvlText w:val=""/>
      <w:lvlJc w:val="left"/>
      <w:pPr>
        <w:tabs>
          <w:tab w:val="num" w:pos="2880"/>
        </w:tabs>
        <w:ind w:left="2880" w:hanging="360"/>
      </w:pPr>
      <w:rPr>
        <w:rFonts w:ascii="Wingdings 2" w:hAnsi="Wingdings 2" w:hint="default"/>
      </w:rPr>
    </w:lvl>
    <w:lvl w:ilvl="4" w:tplc="C3A40DA0" w:tentative="1">
      <w:start w:val="1"/>
      <w:numFmt w:val="bullet"/>
      <w:lvlText w:val=""/>
      <w:lvlJc w:val="left"/>
      <w:pPr>
        <w:tabs>
          <w:tab w:val="num" w:pos="3600"/>
        </w:tabs>
        <w:ind w:left="3600" w:hanging="360"/>
      </w:pPr>
      <w:rPr>
        <w:rFonts w:ascii="Wingdings 2" w:hAnsi="Wingdings 2" w:hint="default"/>
      </w:rPr>
    </w:lvl>
    <w:lvl w:ilvl="5" w:tplc="F836E3FC" w:tentative="1">
      <w:start w:val="1"/>
      <w:numFmt w:val="bullet"/>
      <w:lvlText w:val=""/>
      <w:lvlJc w:val="left"/>
      <w:pPr>
        <w:tabs>
          <w:tab w:val="num" w:pos="4320"/>
        </w:tabs>
        <w:ind w:left="4320" w:hanging="360"/>
      </w:pPr>
      <w:rPr>
        <w:rFonts w:ascii="Wingdings 2" w:hAnsi="Wingdings 2" w:hint="default"/>
      </w:rPr>
    </w:lvl>
    <w:lvl w:ilvl="6" w:tplc="FBC2C9DE" w:tentative="1">
      <w:start w:val="1"/>
      <w:numFmt w:val="bullet"/>
      <w:lvlText w:val=""/>
      <w:lvlJc w:val="left"/>
      <w:pPr>
        <w:tabs>
          <w:tab w:val="num" w:pos="5040"/>
        </w:tabs>
        <w:ind w:left="5040" w:hanging="360"/>
      </w:pPr>
      <w:rPr>
        <w:rFonts w:ascii="Wingdings 2" w:hAnsi="Wingdings 2" w:hint="default"/>
      </w:rPr>
    </w:lvl>
    <w:lvl w:ilvl="7" w:tplc="015A25F8" w:tentative="1">
      <w:start w:val="1"/>
      <w:numFmt w:val="bullet"/>
      <w:lvlText w:val=""/>
      <w:lvlJc w:val="left"/>
      <w:pPr>
        <w:tabs>
          <w:tab w:val="num" w:pos="5760"/>
        </w:tabs>
        <w:ind w:left="5760" w:hanging="360"/>
      </w:pPr>
      <w:rPr>
        <w:rFonts w:ascii="Wingdings 2" w:hAnsi="Wingdings 2" w:hint="default"/>
      </w:rPr>
    </w:lvl>
    <w:lvl w:ilvl="8" w:tplc="FD82298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5B2B49A9"/>
    <w:multiLevelType w:val="hybridMultilevel"/>
    <w:tmpl w:val="35EE4D0E"/>
    <w:lvl w:ilvl="0" w:tplc="80F0147E">
      <w:start w:val="1"/>
      <w:numFmt w:val="bullet"/>
      <w:lvlText w:val=""/>
      <w:lvlJc w:val="left"/>
      <w:pPr>
        <w:tabs>
          <w:tab w:val="num" w:pos="720"/>
        </w:tabs>
        <w:ind w:left="720" w:hanging="360"/>
      </w:pPr>
      <w:rPr>
        <w:rFonts w:ascii="Wingdings 2" w:hAnsi="Wingdings 2" w:hint="default"/>
      </w:rPr>
    </w:lvl>
    <w:lvl w:ilvl="1" w:tplc="7B6C57D8" w:tentative="1">
      <w:start w:val="1"/>
      <w:numFmt w:val="bullet"/>
      <w:lvlText w:val=""/>
      <w:lvlJc w:val="left"/>
      <w:pPr>
        <w:tabs>
          <w:tab w:val="num" w:pos="1440"/>
        </w:tabs>
        <w:ind w:left="1440" w:hanging="360"/>
      </w:pPr>
      <w:rPr>
        <w:rFonts w:ascii="Wingdings 2" w:hAnsi="Wingdings 2" w:hint="default"/>
      </w:rPr>
    </w:lvl>
    <w:lvl w:ilvl="2" w:tplc="7E364510" w:tentative="1">
      <w:start w:val="1"/>
      <w:numFmt w:val="bullet"/>
      <w:lvlText w:val=""/>
      <w:lvlJc w:val="left"/>
      <w:pPr>
        <w:tabs>
          <w:tab w:val="num" w:pos="2160"/>
        </w:tabs>
        <w:ind w:left="2160" w:hanging="360"/>
      </w:pPr>
      <w:rPr>
        <w:rFonts w:ascii="Wingdings 2" w:hAnsi="Wingdings 2" w:hint="default"/>
      </w:rPr>
    </w:lvl>
    <w:lvl w:ilvl="3" w:tplc="F0B871DA" w:tentative="1">
      <w:start w:val="1"/>
      <w:numFmt w:val="bullet"/>
      <w:lvlText w:val=""/>
      <w:lvlJc w:val="left"/>
      <w:pPr>
        <w:tabs>
          <w:tab w:val="num" w:pos="2880"/>
        </w:tabs>
        <w:ind w:left="2880" w:hanging="360"/>
      </w:pPr>
      <w:rPr>
        <w:rFonts w:ascii="Wingdings 2" w:hAnsi="Wingdings 2" w:hint="default"/>
      </w:rPr>
    </w:lvl>
    <w:lvl w:ilvl="4" w:tplc="397250A2" w:tentative="1">
      <w:start w:val="1"/>
      <w:numFmt w:val="bullet"/>
      <w:lvlText w:val=""/>
      <w:lvlJc w:val="left"/>
      <w:pPr>
        <w:tabs>
          <w:tab w:val="num" w:pos="3600"/>
        </w:tabs>
        <w:ind w:left="3600" w:hanging="360"/>
      </w:pPr>
      <w:rPr>
        <w:rFonts w:ascii="Wingdings 2" w:hAnsi="Wingdings 2" w:hint="default"/>
      </w:rPr>
    </w:lvl>
    <w:lvl w:ilvl="5" w:tplc="D6B8D362" w:tentative="1">
      <w:start w:val="1"/>
      <w:numFmt w:val="bullet"/>
      <w:lvlText w:val=""/>
      <w:lvlJc w:val="left"/>
      <w:pPr>
        <w:tabs>
          <w:tab w:val="num" w:pos="4320"/>
        </w:tabs>
        <w:ind w:left="4320" w:hanging="360"/>
      </w:pPr>
      <w:rPr>
        <w:rFonts w:ascii="Wingdings 2" w:hAnsi="Wingdings 2" w:hint="default"/>
      </w:rPr>
    </w:lvl>
    <w:lvl w:ilvl="6" w:tplc="F016078E" w:tentative="1">
      <w:start w:val="1"/>
      <w:numFmt w:val="bullet"/>
      <w:lvlText w:val=""/>
      <w:lvlJc w:val="left"/>
      <w:pPr>
        <w:tabs>
          <w:tab w:val="num" w:pos="5040"/>
        </w:tabs>
        <w:ind w:left="5040" w:hanging="360"/>
      </w:pPr>
      <w:rPr>
        <w:rFonts w:ascii="Wingdings 2" w:hAnsi="Wingdings 2" w:hint="default"/>
      </w:rPr>
    </w:lvl>
    <w:lvl w:ilvl="7" w:tplc="200026BE" w:tentative="1">
      <w:start w:val="1"/>
      <w:numFmt w:val="bullet"/>
      <w:lvlText w:val=""/>
      <w:lvlJc w:val="left"/>
      <w:pPr>
        <w:tabs>
          <w:tab w:val="num" w:pos="5760"/>
        </w:tabs>
        <w:ind w:left="5760" w:hanging="360"/>
      </w:pPr>
      <w:rPr>
        <w:rFonts w:ascii="Wingdings 2" w:hAnsi="Wingdings 2" w:hint="default"/>
      </w:rPr>
    </w:lvl>
    <w:lvl w:ilvl="8" w:tplc="C45EEC8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63F15694"/>
    <w:multiLevelType w:val="hybridMultilevel"/>
    <w:tmpl w:val="7E0E5698"/>
    <w:lvl w:ilvl="0" w:tplc="5D5E7A10">
      <w:start w:val="1"/>
      <w:numFmt w:val="bullet"/>
      <w:lvlText w:val=""/>
      <w:lvlJc w:val="left"/>
      <w:pPr>
        <w:tabs>
          <w:tab w:val="num" w:pos="720"/>
        </w:tabs>
        <w:ind w:left="720" w:hanging="360"/>
      </w:pPr>
      <w:rPr>
        <w:rFonts w:ascii="Wingdings 2" w:hAnsi="Wingdings 2" w:hint="default"/>
      </w:rPr>
    </w:lvl>
    <w:lvl w:ilvl="1" w:tplc="1A989E6E" w:tentative="1">
      <w:start w:val="1"/>
      <w:numFmt w:val="bullet"/>
      <w:lvlText w:val=""/>
      <w:lvlJc w:val="left"/>
      <w:pPr>
        <w:tabs>
          <w:tab w:val="num" w:pos="1440"/>
        </w:tabs>
        <w:ind w:left="1440" w:hanging="360"/>
      </w:pPr>
      <w:rPr>
        <w:rFonts w:ascii="Wingdings 2" w:hAnsi="Wingdings 2" w:hint="default"/>
      </w:rPr>
    </w:lvl>
    <w:lvl w:ilvl="2" w:tplc="8820D088" w:tentative="1">
      <w:start w:val="1"/>
      <w:numFmt w:val="bullet"/>
      <w:lvlText w:val=""/>
      <w:lvlJc w:val="left"/>
      <w:pPr>
        <w:tabs>
          <w:tab w:val="num" w:pos="2160"/>
        </w:tabs>
        <w:ind w:left="2160" w:hanging="360"/>
      </w:pPr>
      <w:rPr>
        <w:rFonts w:ascii="Wingdings 2" w:hAnsi="Wingdings 2" w:hint="default"/>
      </w:rPr>
    </w:lvl>
    <w:lvl w:ilvl="3" w:tplc="8746FEAC" w:tentative="1">
      <w:start w:val="1"/>
      <w:numFmt w:val="bullet"/>
      <w:lvlText w:val=""/>
      <w:lvlJc w:val="left"/>
      <w:pPr>
        <w:tabs>
          <w:tab w:val="num" w:pos="2880"/>
        </w:tabs>
        <w:ind w:left="2880" w:hanging="360"/>
      </w:pPr>
      <w:rPr>
        <w:rFonts w:ascii="Wingdings 2" w:hAnsi="Wingdings 2" w:hint="default"/>
      </w:rPr>
    </w:lvl>
    <w:lvl w:ilvl="4" w:tplc="A5E0284E" w:tentative="1">
      <w:start w:val="1"/>
      <w:numFmt w:val="bullet"/>
      <w:lvlText w:val=""/>
      <w:lvlJc w:val="left"/>
      <w:pPr>
        <w:tabs>
          <w:tab w:val="num" w:pos="3600"/>
        </w:tabs>
        <w:ind w:left="3600" w:hanging="360"/>
      </w:pPr>
      <w:rPr>
        <w:rFonts w:ascii="Wingdings 2" w:hAnsi="Wingdings 2" w:hint="default"/>
      </w:rPr>
    </w:lvl>
    <w:lvl w:ilvl="5" w:tplc="9880D7A4" w:tentative="1">
      <w:start w:val="1"/>
      <w:numFmt w:val="bullet"/>
      <w:lvlText w:val=""/>
      <w:lvlJc w:val="left"/>
      <w:pPr>
        <w:tabs>
          <w:tab w:val="num" w:pos="4320"/>
        </w:tabs>
        <w:ind w:left="4320" w:hanging="360"/>
      </w:pPr>
      <w:rPr>
        <w:rFonts w:ascii="Wingdings 2" w:hAnsi="Wingdings 2" w:hint="default"/>
      </w:rPr>
    </w:lvl>
    <w:lvl w:ilvl="6" w:tplc="3CF87B38" w:tentative="1">
      <w:start w:val="1"/>
      <w:numFmt w:val="bullet"/>
      <w:lvlText w:val=""/>
      <w:lvlJc w:val="left"/>
      <w:pPr>
        <w:tabs>
          <w:tab w:val="num" w:pos="5040"/>
        </w:tabs>
        <w:ind w:left="5040" w:hanging="360"/>
      </w:pPr>
      <w:rPr>
        <w:rFonts w:ascii="Wingdings 2" w:hAnsi="Wingdings 2" w:hint="default"/>
      </w:rPr>
    </w:lvl>
    <w:lvl w:ilvl="7" w:tplc="81FC41EC" w:tentative="1">
      <w:start w:val="1"/>
      <w:numFmt w:val="bullet"/>
      <w:lvlText w:val=""/>
      <w:lvlJc w:val="left"/>
      <w:pPr>
        <w:tabs>
          <w:tab w:val="num" w:pos="5760"/>
        </w:tabs>
        <w:ind w:left="5760" w:hanging="360"/>
      </w:pPr>
      <w:rPr>
        <w:rFonts w:ascii="Wingdings 2" w:hAnsi="Wingdings 2" w:hint="default"/>
      </w:rPr>
    </w:lvl>
    <w:lvl w:ilvl="8" w:tplc="4796B202"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F3"/>
    <w:rsid w:val="000172C9"/>
    <w:rsid w:val="000570AB"/>
    <w:rsid w:val="001807D6"/>
    <w:rsid w:val="0023272E"/>
    <w:rsid w:val="002C210E"/>
    <w:rsid w:val="003068BF"/>
    <w:rsid w:val="003807C9"/>
    <w:rsid w:val="003C2D18"/>
    <w:rsid w:val="00466596"/>
    <w:rsid w:val="005719F8"/>
    <w:rsid w:val="006844F0"/>
    <w:rsid w:val="00695260"/>
    <w:rsid w:val="006E1934"/>
    <w:rsid w:val="007B33D6"/>
    <w:rsid w:val="00A11B6E"/>
    <w:rsid w:val="00B17152"/>
    <w:rsid w:val="00C16021"/>
    <w:rsid w:val="00E947C4"/>
    <w:rsid w:val="00ED63F3"/>
    <w:rsid w:val="00F11DA9"/>
    <w:rsid w:val="00FE7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A9257-AC92-4FB2-A25C-56DBFB0F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44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93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65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4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4F0"/>
  </w:style>
  <w:style w:type="paragraph" w:styleId="Footer">
    <w:name w:val="footer"/>
    <w:basedOn w:val="Normal"/>
    <w:link w:val="FooterChar"/>
    <w:uiPriority w:val="99"/>
    <w:unhideWhenUsed/>
    <w:rsid w:val="00684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4F0"/>
  </w:style>
  <w:style w:type="paragraph" w:styleId="FootnoteText">
    <w:name w:val="footnote text"/>
    <w:basedOn w:val="Normal"/>
    <w:link w:val="FootnoteTextChar"/>
    <w:uiPriority w:val="99"/>
    <w:semiHidden/>
    <w:unhideWhenUsed/>
    <w:rsid w:val="006844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4F0"/>
    <w:rPr>
      <w:sz w:val="20"/>
      <w:szCs w:val="20"/>
    </w:rPr>
  </w:style>
  <w:style w:type="character" w:styleId="FootnoteReference">
    <w:name w:val="footnote reference"/>
    <w:basedOn w:val="DefaultParagraphFont"/>
    <w:uiPriority w:val="99"/>
    <w:semiHidden/>
    <w:unhideWhenUsed/>
    <w:rsid w:val="006844F0"/>
    <w:rPr>
      <w:vertAlign w:val="superscript"/>
    </w:rPr>
  </w:style>
  <w:style w:type="character" w:styleId="Hyperlink">
    <w:name w:val="Hyperlink"/>
    <w:basedOn w:val="DefaultParagraphFont"/>
    <w:uiPriority w:val="99"/>
    <w:unhideWhenUsed/>
    <w:rsid w:val="006844F0"/>
    <w:rPr>
      <w:color w:val="0563C1" w:themeColor="hyperlink"/>
      <w:u w:val="single"/>
    </w:rPr>
  </w:style>
  <w:style w:type="character" w:customStyle="1" w:styleId="Heading2Char">
    <w:name w:val="Heading 2 Char"/>
    <w:basedOn w:val="DefaultParagraphFont"/>
    <w:link w:val="Heading2"/>
    <w:uiPriority w:val="9"/>
    <w:rsid w:val="006844F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7736">
      <w:bodyDiv w:val="1"/>
      <w:marLeft w:val="0"/>
      <w:marRight w:val="0"/>
      <w:marTop w:val="0"/>
      <w:marBottom w:val="0"/>
      <w:divBdr>
        <w:top w:val="none" w:sz="0" w:space="0" w:color="auto"/>
        <w:left w:val="none" w:sz="0" w:space="0" w:color="auto"/>
        <w:bottom w:val="none" w:sz="0" w:space="0" w:color="auto"/>
        <w:right w:val="none" w:sz="0" w:space="0" w:color="auto"/>
      </w:divBdr>
      <w:divsChild>
        <w:div w:id="1787575102">
          <w:marLeft w:val="576"/>
          <w:marRight w:val="0"/>
          <w:marTop w:val="120"/>
          <w:marBottom w:val="0"/>
          <w:divBdr>
            <w:top w:val="none" w:sz="0" w:space="0" w:color="auto"/>
            <w:left w:val="none" w:sz="0" w:space="0" w:color="auto"/>
            <w:bottom w:val="none" w:sz="0" w:space="0" w:color="auto"/>
            <w:right w:val="none" w:sz="0" w:space="0" w:color="auto"/>
          </w:divBdr>
        </w:div>
        <w:div w:id="307709383">
          <w:marLeft w:val="576"/>
          <w:marRight w:val="0"/>
          <w:marTop w:val="120"/>
          <w:marBottom w:val="0"/>
          <w:divBdr>
            <w:top w:val="none" w:sz="0" w:space="0" w:color="auto"/>
            <w:left w:val="none" w:sz="0" w:space="0" w:color="auto"/>
            <w:bottom w:val="none" w:sz="0" w:space="0" w:color="auto"/>
            <w:right w:val="none" w:sz="0" w:space="0" w:color="auto"/>
          </w:divBdr>
        </w:div>
      </w:divsChild>
    </w:div>
    <w:div w:id="1258439371">
      <w:bodyDiv w:val="1"/>
      <w:marLeft w:val="0"/>
      <w:marRight w:val="0"/>
      <w:marTop w:val="0"/>
      <w:marBottom w:val="0"/>
      <w:divBdr>
        <w:top w:val="none" w:sz="0" w:space="0" w:color="auto"/>
        <w:left w:val="none" w:sz="0" w:space="0" w:color="auto"/>
        <w:bottom w:val="none" w:sz="0" w:space="0" w:color="auto"/>
        <w:right w:val="none" w:sz="0" w:space="0" w:color="auto"/>
      </w:divBdr>
      <w:divsChild>
        <w:div w:id="1119184417">
          <w:marLeft w:val="576"/>
          <w:marRight w:val="0"/>
          <w:marTop w:val="120"/>
          <w:marBottom w:val="0"/>
          <w:divBdr>
            <w:top w:val="none" w:sz="0" w:space="0" w:color="auto"/>
            <w:left w:val="none" w:sz="0" w:space="0" w:color="auto"/>
            <w:bottom w:val="none" w:sz="0" w:space="0" w:color="auto"/>
            <w:right w:val="none" w:sz="0" w:space="0" w:color="auto"/>
          </w:divBdr>
        </w:div>
        <w:div w:id="1633712929">
          <w:marLeft w:val="576"/>
          <w:marRight w:val="0"/>
          <w:marTop w:val="120"/>
          <w:marBottom w:val="0"/>
          <w:divBdr>
            <w:top w:val="none" w:sz="0" w:space="0" w:color="auto"/>
            <w:left w:val="none" w:sz="0" w:space="0" w:color="auto"/>
            <w:bottom w:val="none" w:sz="0" w:space="0" w:color="auto"/>
            <w:right w:val="none" w:sz="0" w:space="0" w:color="auto"/>
          </w:divBdr>
        </w:div>
      </w:divsChild>
    </w:div>
    <w:div w:id="1340696401">
      <w:bodyDiv w:val="1"/>
      <w:marLeft w:val="0"/>
      <w:marRight w:val="0"/>
      <w:marTop w:val="0"/>
      <w:marBottom w:val="0"/>
      <w:divBdr>
        <w:top w:val="none" w:sz="0" w:space="0" w:color="auto"/>
        <w:left w:val="none" w:sz="0" w:space="0" w:color="auto"/>
        <w:bottom w:val="none" w:sz="0" w:space="0" w:color="auto"/>
        <w:right w:val="none" w:sz="0" w:space="0" w:color="auto"/>
      </w:divBdr>
    </w:div>
    <w:div w:id="2117479510">
      <w:bodyDiv w:val="1"/>
      <w:marLeft w:val="0"/>
      <w:marRight w:val="0"/>
      <w:marTop w:val="0"/>
      <w:marBottom w:val="0"/>
      <w:divBdr>
        <w:top w:val="none" w:sz="0" w:space="0" w:color="auto"/>
        <w:left w:val="none" w:sz="0" w:space="0" w:color="auto"/>
        <w:bottom w:val="none" w:sz="0" w:space="0" w:color="auto"/>
        <w:right w:val="none" w:sz="0" w:space="0" w:color="auto"/>
      </w:divBdr>
      <w:divsChild>
        <w:div w:id="782766228">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oodys.com/research/Moodys-changes-outlook-for-Chinas-banking-system-to-stable-from--PR_370398" TargetMode="External"/><Relationship Id="rId2" Type="http://schemas.openxmlformats.org/officeDocument/2006/relationships/hyperlink" Target="https://www.fitchratings.com/site/pr/1030373" TargetMode="External"/><Relationship Id="rId1" Type="http://schemas.openxmlformats.org/officeDocument/2006/relationships/hyperlink" Target="https://www.fitchratings.com/site/pr/1030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A9442-11DD-48BD-B07E-C73D65B0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Zhipeng</dc:creator>
  <cp:keywords/>
  <dc:description/>
  <cp:lastModifiedBy>Yan, Zhipeng</cp:lastModifiedBy>
  <cp:revision>8</cp:revision>
  <dcterms:created xsi:type="dcterms:W3CDTF">2017-10-30T16:31:00Z</dcterms:created>
  <dcterms:modified xsi:type="dcterms:W3CDTF">2017-10-30T18:35:00Z</dcterms:modified>
</cp:coreProperties>
</file>